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WOJEWÓDZTWO DOLNOŚLĄSKIE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color="auto" w:fill="FFC000" w:val="clear"/>
          </w:tcPr>
          <w:p>
            <w:pPr>
              <w:pStyle w:val="Normal"/>
              <w:widowControl/>
              <w:tabs>
                <w:tab w:val="clear" w:pos="708"/>
                <w:tab w:val="left" w:pos="1110" w:leader="none"/>
                <w:tab w:val="center" w:pos="2157" w:leader="none"/>
              </w:tabs>
              <w:spacing w:lineRule="auto" w:line="259" w:before="0" w:after="0"/>
              <w:jc w:val="left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POZIOM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 xml:space="preserve">Powiadomienie o ryzyku wystąpienia przekroczenia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 xml:space="preserve">poziomu informowania </w:t>
            </w:r>
            <w:bookmarkStart w:id="0" w:name="_Hlk22446545"/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 xml:space="preserve">dla pyłu zawieszonego PM10 </w:t>
            </w:r>
            <w:bookmarkEnd w:id="0"/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w powietrzu</w:t>
            </w:r>
          </w:p>
          <w:p>
            <w:pPr>
              <w:pStyle w:val="Normal"/>
              <w:widowControl/>
              <w:tabs>
                <w:tab w:val="clear" w:pos="708"/>
                <w:tab w:val="left" w:pos="1110" w:leader="none"/>
                <w:tab w:val="center" w:pos="2157" w:leader="none"/>
              </w:tabs>
              <w:spacing w:lineRule="auto" w:line="259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tbl>
      <w:tblPr>
        <w:tblStyle w:val="Tabela-Siatka1"/>
        <w:tblW w:w="90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07"/>
        <w:gridCol w:w="4835"/>
      </w:tblGrid>
      <w:tr>
        <w:trPr>
          <w:trHeight w:val="574" w:hRule="atLeast"/>
        </w:trPr>
        <w:tc>
          <w:tcPr>
            <w:tcW w:w="90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INFORMACJE O RYZYKU PRZEKROCZENIA POZIOMU INFORMOWANIA</w:t>
            </w:r>
          </w:p>
        </w:tc>
      </w:tr>
      <w:tr>
        <w:trPr/>
        <w:tc>
          <w:tcPr>
            <w:tcW w:w="420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Zagrożenie</w:t>
            </w:r>
          </w:p>
        </w:tc>
        <w:tc>
          <w:tcPr>
            <w:tcW w:w="4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Ryzyko wystąpienia przekroczenia poziomu informowania (100 µg/m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) dla pyłu zawieszonego PM10 w powietrzu.</w:t>
            </w:r>
          </w:p>
        </w:tc>
      </w:tr>
      <w:tr>
        <w:trPr/>
        <w:tc>
          <w:tcPr>
            <w:tcW w:w="42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Data wystąpienia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12.01.2026 r. godz. 9.00</w:t>
            </w:r>
          </w:p>
        </w:tc>
      </w:tr>
      <w:tr>
        <w:trPr/>
        <w:tc>
          <w:tcPr>
            <w:tcW w:w="42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Przewidywany czas trwania ryzyka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Od godz. 9.00 dnia 12.01.2026 r. do godz. 24.00 dnia 12.01.2026 r.</w:t>
            </w:r>
          </w:p>
        </w:tc>
      </w:tr>
      <w:tr>
        <w:trPr/>
        <w:tc>
          <w:tcPr>
            <w:tcW w:w="420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Przyczyny 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Warunki meteorologiczne utrudniające rozprzestrzenianie się zanieczyszczeń w sytuacji wzmożonej emisji z sektora bytowo-komunalnego.</w:t>
            </w:r>
          </w:p>
        </w:tc>
      </w:tr>
      <w:tr>
        <w:trPr/>
        <w:tc>
          <w:tcPr>
            <w:tcW w:w="90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Times New Roman" w:hAnsi="Times New Roman" w:eastAsia="Calibri" w:cs="Times New Roman"/>
                <w:b/>
                <w:color w:val="0070C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Prognozowana jakość powietrza</w:t>
            </w:r>
          </w:p>
        </w:tc>
      </w:tr>
      <w:tr>
        <w:trPr/>
        <w:tc>
          <w:tcPr>
            <w:tcW w:w="90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rFonts w:ascii="Times New Roman" w:hAnsi="Times New Roman" w:eastAsia="Calibri" w:cs="Times New Roman"/>
                <w:color w:val="0563C1"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Prognoza na dzień 12.01.2026 </w:t>
            </w: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pl-PL" w:eastAsia="en-US" w:bidi="ar-SA"/>
              </w:rPr>
              <w:t>r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. dla stężeń średniodobowych pyłu PM10, przygotowana na podstawie prognozy zanieczyszczenia powietrza, wykonywanej przez Instytut Ochrony Środowiska - Państwowy Instytut Badawczy (IOŚ-PIB) dostępnej na portalu „Jakość powietrza” GIOŚ pod adresem </w:t>
            </w:r>
            <w:hyperlink r:id="rId2">
              <w:r>
                <w:rPr>
                  <w:rStyle w:val="Style8"/>
                  <w:rFonts w:eastAsia="Calibri" w:cs="Times New Roman" w:ascii="Times New Roman" w:hAnsi="Times New Roman"/>
                  <w:color w:val="0563C1"/>
                  <w:kern w:val="0"/>
                  <w:sz w:val="24"/>
                  <w:szCs w:val="24"/>
                  <w:u w:val="single"/>
                  <w:lang w:val="pl-PL" w:eastAsia="en-US" w:bidi="ar-SA"/>
                </w:rPr>
                <w:t>http://powietrze.gios.gov.pl/pjp/airPollution</w:t>
              </w:r>
            </w:hyperlink>
            <w:r>
              <w:rPr>
                <w:rFonts w:eastAsia="Calibri" w:cs="Times New Roman" w:ascii="Times New Roman" w:hAnsi="Times New Roman"/>
                <w:color w:val="0563C1"/>
                <w:kern w:val="0"/>
                <w:sz w:val="24"/>
                <w:szCs w:val="24"/>
                <w:lang w:val="pl-PL" w:eastAsia="en-US" w:bidi="ar-SA"/>
              </w:rPr>
              <w:t xml:space="preserve"> .</w:t>
            </w:r>
          </w:p>
        </w:tc>
      </w:tr>
      <w:tr>
        <w:trPr/>
        <w:tc>
          <w:tcPr>
            <w:tcW w:w="904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Dzień 12.01.2026 r.</w:t>
            </w:r>
          </w:p>
          <w:p>
            <w:pPr>
              <w:pStyle w:val="Normal"/>
              <w:widowControl/>
              <w:spacing w:lineRule="auto" w:line="259" w:before="0" w:after="16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kern w:val="0"/>
                <w:lang w:val="pl-PL" w:eastAsia="en-US" w:bidi="ar-SA"/>
              </w:rPr>
              <w:drawing>
                <wp:inline distT="0" distB="0" distL="0" distR="0">
                  <wp:extent cx="5667375" cy="3253105"/>
                  <wp:effectExtent l="0" t="0" r="0" b="0"/>
                  <wp:docPr id="1" name="Obraz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7375" cy="325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lineRule="auto" w:line="259" w:before="0" w:after="16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904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color="auto" w:fill="FFC000" w:val="clear"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Obszar ryzyka wystąpienia przekroczenia poziomu informowania dla pyłu PM10</w:t>
            </w:r>
          </w:p>
          <w:p>
            <w:pPr>
              <w:pStyle w:val="Normal"/>
              <w:widowControl/>
              <w:spacing w:lineRule="auto" w:line="259" w:before="0" w:after="16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Prognozowane na dzień 12.01.2026 r. przekroczenie poziomu informowania dla pyłu PM10 obejmuje powiaty: dzierżoniowski, jaworski, karkonoski, kamiennogórski, kłodzki, lubański, lwówecki, strzeliński, świdnicki, wałbrzyski, ząbkowicki, zgorzelecki, złotoryjski, miasto Jelenia Góra i miasto Wałbrzych.</w:t>
            </w:r>
          </w:p>
        </w:tc>
      </w:tr>
      <w:tr>
        <w:trPr/>
        <w:tc>
          <w:tcPr>
            <w:tcW w:w="904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Ludność narażona na ryzyko wystąpienia przekroczenia poziomu informowania dla pyłu PM10</w:t>
            </w:r>
          </w:p>
          <w:p>
            <w:pPr>
              <w:pStyle w:val="Normal"/>
              <w:widowControl/>
              <w:spacing w:lineRule="auto" w:line="259" w:before="0" w:after="16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Ludność zamieszkująca obszar, na którym istnieje ryzyko przekroczenia poziomu informowania dla pyłu PM10: ok. 1 160 tys. 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tbl>
      <w:tblPr>
        <w:tblStyle w:val="Tabela-Siatka"/>
        <w:tblW w:w="90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98"/>
        <w:gridCol w:w="6544"/>
      </w:tblGrid>
      <w:tr>
        <w:trPr>
          <w:trHeight w:val="586" w:hRule="atLeast"/>
        </w:trPr>
        <w:tc>
          <w:tcPr>
            <w:tcW w:w="90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INFORMACJE O ZAGROŻENIU</w:t>
            </w:r>
          </w:p>
        </w:tc>
      </w:tr>
      <w:tr>
        <w:trPr/>
        <w:tc>
          <w:tcPr>
            <w:tcW w:w="2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right" w:pos="284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osoby cierpiące z powodu przewlekłych chorób sercowo-naczyniowych (zwłaszcza niewydolność serca, choroba wieńcowa),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right" w:pos="284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osoby cierpiące z powodu przewlekłych chorób układu oddechowego (np. astma, przewlekła obturacyjna choroba płuc),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right" w:pos="284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osoby starsze, kobiety w ciąży oraz dzieci,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right" w:pos="284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osoby z rozpoznaną chorobą nowotworową oraz ozdrowieńcy.</w:t>
            </w:r>
          </w:p>
        </w:tc>
      </w:tr>
      <w:tr>
        <w:trPr/>
        <w:tc>
          <w:tcPr>
            <w:tcW w:w="2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right" w:pos="28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Osoby cierpiące z powodu chorób serca mogą odczuwać pogorszenie samopoczucia np. uczucie bólu w klatce piersiowej, brak tchu, znużenie. </w:t>
            </w:r>
          </w:p>
          <w:p>
            <w:pPr>
              <w:pStyle w:val="Normal"/>
              <w:widowControl/>
              <w:tabs>
                <w:tab w:val="clear" w:pos="708"/>
                <w:tab w:val="right" w:pos="28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>
            <w:pPr>
              <w:pStyle w:val="Normal"/>
              <w:widowControl/>
              <w:tabs>
                <w:tab w:val="clear" w:pos="708"/>
                <w:tab w:val="right" w:pos="28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Podobne objawy mogą wystąpić również u osób zdrowych. W okresach wysokich stężeń pyłu zawieszonego w powietrzu zwiększa się ryzyko infekcji dróg oddechowych. </w:t>
            </w:r>
          </w:p>
        </w:tc>
      </w:tr>
      <w:tr>
        <w:trPr/>
        <w:tc>
          <w:tcPr>
            <w:tcW w:w="2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28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u w:val="single"/>
                <w:lang w:val="pl-PL" w:eastAsia="en-US" w:bidi="ar-SA"/>
              </w:rPr>
              <w:t>Ogół ludności: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214" w:leader="none"/>
              </w:tabs>
              <w:suppressAutoHyphens w:val="true"/>
              <w:spacing w:lineRule="auto" w:line="240" w:before="0" w:after="0"/>
              <w:ind w:hanging="214" w:left="214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- rozważ ograniczenie intensywnego wysiłku fizycznego na zewnątrz, jeśli odczuwasz pieczenie w oczach, kaszel lub ból gardła, 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214" w:leader="none"/>
              </w:tabs>
              <w:suppressAutoHyphens w:val="true"/>
              <w:spacing w:lineRule="auto" w:line="240" w:before="0" w:after="0"/>
              <w:ind w:hanging="214" w:left="214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-  ogranicz wietrzenie pomieszczeń, 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214" w:leader="none"/>
              </w:tabs>
              <w:suppressAutoHyphens w:val="true"/>
              <w:spacing w:lineRule="auto" w:line="240" w:before="0" w:after="0"/>
              <w:ind w:hanging="214" w:left="214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  unikaj działań zwiększających zanieczyszczenie powietrza, np. palenia w kominku.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28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12"/>
                <w:szCs w:val="12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12"/>
                <w:szCs w:val="12"/>
                <w:u w:val="single"/>
                <w:lang w:val="pl-PL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right" w:pos="28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u w:val="single"/>
                <w:lang w:val="pl-PL" w:eastAsia="en-US" w:bidi="ar-SA"/>
              </w:rPr>
              <w:t>Wrażliwe grupy ludności: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284" w:leader="none"/>
              </w:tabs>
              <w:suppressAutoHyphens w:val="true"/>
              <w:spacing w:lineRule="auto" w:line="240" w:before="0" w:after="0"/>
              <w:ind w:hanging="214" w:left="214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-  ogranicz intensywny wysiłek fizyczny na zewnątrz, 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284" w:leader="none"/>
              </w:tabs>
              <w:suppressAutoHyphens w:val="true"/>
              <w:spacing w:lineRule="auto" w:line="240" w:before="0" w:after="0"/>
              <w:ind w:hanging="214" w:left="214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-  nie zapominaj o normalnie przyjmowanych lekach, 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284" w:leader="none"/>
              </w:tabs>
              <w:suppressAutoHyphens w:val="true"/>
              <w:spacing w:lineRule="auto" w:line="240" w:before="0" w:after="0"/>
              <w:ind w:hanging="214" w:left="214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 osoby z astmą mogą częściej odczuwać objawy (duszność, kaszel, świsty) i potrzebować swoich leków częściej niż normalnie,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284" w:leader="none"/>
              </w:tabs>
              <w:suppressAutoHyphens w:val="true"/>
              <w:spacing w:lineRule="auto" w:line="240" w:before="0" w:after="0"/>
              <w:ind w:hanging="214" w:left="214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  ogranicz wietrzenie pomieszczeń,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284" w:leader="none"/>
              </w:tabs>
              <w:suppressAutoHyphens w:val="true"/>
              <w:spacing w:lineRule="auto" w:line="240" w:before="0" w:after="0"/>
              <w:ind w:hanging="214" w:left="214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  unikaj działań zwiększających zanieczyszczenie powietrza, np. palenia w kominku.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28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W przypadku nasilenia objawów chorobowych zalecana jest konsultacja z lekarzem. 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28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12"/>
                <w:szCs w:val="12"/>
              </w:rPr>
            </w:pPr>
            <w:r>
              <w:rPr>
                <w:rFonts w:eastAsia="Calibri" w:cs="Times New Roman" w:ascii="Times New Roman" w:hAnsi="Times New Roman"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right" w:pos="28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u w:val="single"/>
                <w:lang w:val="pl-PL" w:eastAsia="en-US" w:bidi="ar-SA"/>
              </w:rPr>
              <w:t>Zaleca się również: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284" w:leader="none"/>
              </w:tabs>
              <w:suppressAutoHyphens w:val="true"/>
              <w:spacing w:lineRule="auto" w:line="240" w:before="0" w:after="0"/>
              <w:ind w:hanging="214" w:left="214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-  zwiększenie nadzoru nad osobami przewlekle chorymi, w tym niepełnosprawnymi, 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284" w:leader="none"/>
              </w:tabs>
              <w:suppressAutoHyphens w:val="true"/>
              <w:spacing w:lineRule="auto" w:line="240" w:before="0" w:after="0"/>
              <w:ind w:hanging="214" w:left="214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  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zanieczyszczeń, w tym pyłu zawieszonego,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284" w:leader="none"/>
              </w:tabs>
              <w:suppressAutoHyphens w:val="true"/>
              <w:spacing w:lineRule="auto" w:line="240" w:before="0" w:after="0"/>
              <w:ind w:hanging="214" w:left="214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 bieżące śledzenie informacji o zanieczyszczeniu powietrza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284" w:leader="none"/>
              </w:tabs>
              <w:suppressAutoHyphens w:val="true"/>
              <w:spacing w:lineRule="auto" w:line="240" w:before="0" w:after="0"/>
              <w:ind w:firstLine="214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(</w:t>
            </w:r>
            <w:hyperlink r:id="rId4">
              <w:r>
                <w:rPr>
                  <w:rStyle w:val="Style8"/>
                  <w:rFonts w:eastAsia="Calibri" w:cs="Times New Roman" w:ascii="Times New Roman" w:hAnsi="Times New Roman"/>
                  <w:color w:val="0000FF"/>
                  <w:kern w:val="0"/>
                  <w:sz w:val="24"/>
                  <w:szCs w:val="24"/>
                  <w:u w:val="single"/>
                  <w:lang w:val="pl-PL" w:eastAsia="en-US" w:bidi="ar-SA"/>
                </w:rPr>
                <w:t>http://powietrze.gios.gov.pl/pjp/current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).</w:t>
            </w:r>
          </w:p>
        </w:tc>
      </w:tr>
    </w:tbl>
    <w:p>
      <w:pPr>
        <w:pStyle w:val="Normal"/>
        <w:spacing w:lineRule="auto" w:line="259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tbl>
      <w:tblPr>
        <w:tblStyle w:val="Tabela-Siatka"/>
        <w:tblW w:w="90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37"/>
        <w:gridCol w:w="6505"/>
      </w:tblGrid>
      <w:tr>
        <w:trPr>
          <w:trHeight w:val="531" w:hRule="atLeast"/>
        </w:trPr>
        <w:tc>
          <w:tcPr>
            <w:tcW w:w="90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DZIAŁANIA ZMIERZAJĄCE DO OGRANICZENIA PRZEKROCZEŃ</w:t>
            </w:r>
          </w:p>
        </w:tc>
      </w:tr>
      <w:tr>
        <w:trPr/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802" w:leader="none"/>
              </w:tabs>
              <w:spacing w:lineRule="auto" w:line="240" w:before="0" w:after="0"/>
              <w:ind w:right="-2"/>
              <w:contextualSpacing/>
              <w:jc w:val="both"/>
              <w:rPr>
                <w:rFonts w:ascii="Times New Roman" w:hAnsi="Times New Roman" w:eastAsia="Calibri" w:cs="Times New Roman"/>
                <w:b/>
                <w:bCs/>
                <w:i/>
                <w:i/>
                <w:spacing w:val="-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spacing w:val="-4"/>
                <w:kern w:val="0"/>
                <w:sz w:val="22"/>
                <w:szCs w:val="22"/>
                <w:lang w:val="pl-PL" w:eastAsia="en-US" w:bidi="ar-SA"/>
              </w:rPr>
              <w:t>Działania określone przez Zarząd Województwa w Planie Działań Krótkoterminowych dla województwa dolnośląskiego: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802" w:leader="none"/>
              </w:tabs>
              <w:spacing w:lineRule="auto" w:line="240" w:before="0" w:after="0"/>
              <w:ind w:right="-2"/>
              <w:contextualSpacing/>
              <w:jc w:val="both"/>
              <w:rPr>
                <w:rFonts w:ascii="Times New Roman" w:hAnsi="Times New Roman" w:eastAsia="Calibri" w:cs="Times New Roman"/>
                <w:b/>
                <w:bCs/>
                <w:spacing w:val="-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pacing w:val="-4"/>
                <w:kern w:val="0"/>
                <w:sz w:val="22"/>
                <w:szCs w:val="22"/>
                <w:lang w:val="pl-PL" w:eastAsia="en-US" w:bidi="ar-SA"/>
              </w:rPr>
              <w:t>1. Zalecenia dla ludności: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FFFFFF"/>
              <w:tabs>
                <w:tab w:val="clear" w:pos="708"/>
                <w:tab w:val="left" w:pos="465" w:leader="none"/>
              </w:tabs>
              <w:spacing w:lineRule="auto" w:line="240" w:before="0" w:after="0"/>
              <w:ind w:hanging="284" w:left="465" w:right="-2"/>
              <w:contextualSpacing/>
              <w:jc w:val="both"/>
              <w:rPr>
                <w:rFonts w:ascii="Times New Roman" w:hAnsi="Times New Roman" w:eastAsia="Calibri" w:cs="Times New Roman"/>
                <w:spacing w:val="-4"/>
              </w:rPr>
            </w:pPr>
            <w:r>
              <w:rPr>
                <w:rFonts w:eastAsia="Calibri" w:cs="Times New Roman" w:ascii="Times New Roman" w:hAnsi="Times New Roman"/>
                <w:spacing w:val="-4"/>
                <w:kern w:val="0"/>
                <w:sz w:val="22"/>
                <w:szCs w:val="22"/>
                <w:lang w:val="pl-PL" w:eastAsia="en-US" w:bidi="ar-SA"/>
              </w:rPr>
              <w:t>w miarę możliwości ograniczać własną emisję zanieczyszczeń, poprzez: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FFFFFF"/>
              <w:tabs>
                <w:tab w:val="clear" w:pos="708"/>
                <w:tab w:val="left" w:pos="802" w:leader="none"/>
              </w:tabs>
              <w:spacing w:lineRule="auto" w:line="240" w:before="0" w:after="0"/>
              <w:ind w:hanging="360" w:left="720" w:right="-2"/>
              <w:contextualSpacing/>
              <w:jc w:val="both"/>
              <w:rPr>
                <w:rFonts w:ascii="Times New Roman" w:hAnsi="Times New Roman" w:eastAsia="Calibri" w:cs="Times New Roman"/>
                <w:spacing w:val="-4"/>
              </w:rPr>
            </w:pPr>
            <w:r>
              <w:rPr>
                <w:rFonts w:eastAsia="Calibri" w:cs="Times New Roman" w:ascii="Times New Roman" w:hAnsi="Times New Roman"/>
                <w:spacing w:val="-4"/>
                <w:kern w:val="0"/>
                <w:sz w:val="22"/>
                <w:szCs w:val="22"/>
                <w:lang w:val="pl-PL" w:eastAsia="en-US" w:bidi="ar-SA"/>
              </w:rPr>
              <w:t>ograniczenie korzystania z samochodów osobowych,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FFFFFF"/>
              <w:tabs>
                <w:tab w:val="clear" w:pos="708"/>
                <w:tab w:val="left" w:pos="802" w:leader="none"/>
              </w:tabs>
              <w:spacing w:lineRule="auto" w:line="240" w:before="0" w:after="0"/>
              <w:ind w:hanging="360" w:left="720" w:right="-2"/>
              <w:contextualSpacing/>
              <w:jc w:val="both"/>
              <w:rPr>
                <w:rFonts w:ascii="Times New Roman" w:hAnsi="Times New Roman" w:eastAsia="Calibri" w:cs="Times New Roman"/>
                <w:spacing w:val="-4"/>
              </w:rPr>
            </w:pPr>
            <w:r>
              <w:rPr>
                <w:rFonts w:eastAsia="Calibri" w:cs="Times New Roman" w:ascii="Times New Roman" w:hAnsi="Times New Roman"/>
                <w:spacing w:val="-4"/>
                <w:kern w:val="0"/>
                <w:sz w:val="22"/>
                <w:szCs w:val="22"/>
                <w:lang w:val="pl-PL" w:eastAsia="en-US" w:bidi="ar-SA"/>
              </w:rPr>
              <w:t>ograniczenie spalania węgla w piecach,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FFFFFF"/>
              <w:tabs>
                <w:tab w:val="clear" w:pos="708"/>
                <w:tab w:val="left" w:pos="802" w:leader="none"/>
              </w:tabs>
              <w:spacing w:lineRule="auto" w:line="240" w:before="0" w:after="0"/>
              <w:ind w:hanging="360" w:left="720" w:right="-2"/>
              <w:contextualSpacing/>
              <w:jc w:val="both"/>
              <w:rPr>
                <w:rFonts w:ascii="Times New Roman" w:hAnsi="Times New Roman" w:eastAsia="Calibri" w:cs="Times New Roman"/>
                <w:spacing w:val="-4"/>
              </w:rPr>
            </w:pPr>
            <w:r>
              <w:rPr>
                <w:rFonts w:eastAsia="Calibri" w:cs="Times New Roman" w:ascii="Times New Roman" w:hAnsi="Times New Roman"/>
                <w:spacing w:val="-4"/>
                <w:kern w:val="0"/>
                <w:sz w:val="22"/>
                <w:szCs w:val="22"/>
                <w:lang w:val="pl-PL" w:eastAsia="en-US" w:bidi="ar-SA"/>
              </w:rPr>
              <w:t>ogrzewanie mieszkań lepszym jakościowo paliwem (np. lepszym jakościowo węglem lub gazem jeżeli jest możliwość wyboru);</w:t>
            </w:r>
          </w:p>
          <w:p>
            <w:pPr>
              <w:pStyle w:val="Normal"/>
              <w:keepNext w:val="true"/>
              <w:widowControl/>
              <w:shd w:val="clear" w:color="auto" w:fill="FFFFFF"/>
              <w:tabs>
                <w:tab w:val="clear" w:pos="708"/>
                <w:tab w:val="left" w:pos="80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Cs/>
                <w:spacing w:val="-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pacing w:val="-4"/>
                <w:kern w:val="0"/>
                <w:sz w:val="22"/>
                <w:szCs w:val="22"/>
                <w:lang w:val="pl-PL" w:eastAsia="en-US" w:bidi="ar-SA"/>
              </w:rPr>
              <w:t>2. Zadania, nakazy lub zakazy: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hd w:val="clear" w:color="auto" w:fill="FFFFFF"/>
              <w:tabs>
                <w:tab w:val="clear" w:pos="708"/>
                <w:tab w:val="left" w:pos="465" w:leader="none"/>
              </w:tabs>
              <w:spacing w:lineRule="auto" w:line="240" w:before="0" w:after="0"/>
              <w:ind w:hanging="284" w:left="465" w:right="-2"/>
              <w:contextualSpacing/>
              <w:jc w:val="both"/>
              <w:rPr>
                <w:rFonts w:ascii="Times New Roman" w:hAnsi="Times New Roman" w:eastAsia="Calibri" w:cs="Times New Roman"/>
                <w:spacing w:val="-4"/>
              </w:rPr>
            </w:pPr>
            <w:r>
              <w:rPr>
                <w:rFonts w:eastAsia="Calibri" w:cs="Times New Roman" w:ascii="Times New Roman" w:hAnsi="Times New Roman"/>
                <w:spacing w:val="-4"/>
                <w:kern w:val="0"/>
                <w:sz w:val="22"/>
                <w:szCs w:val="22"/>
                <w:lang w:val="pl-PL" w:eastAsia="en-US" w:bidi="ar-SA"/>
              </w:rPr>
              <w:t xml:space="preserve">egzekwowanie zakazu palenia odpadów zielonych (liści, gałęzi, trawy) w okresie wczesnowiosennym i późnojesiennym poprzez wzmożone kontrole realizowane na podstawie art. 379 </w:t>
            </w:r>
            <w:r>
              <w:rPr>
                <w:rFonts w:eastAsia="Calibri" w:cs="Times New Roman" w:ascii="Times New Roman" w:hAnsi="Times New Roman"/>
                <w:i/>
                <w:iCs/>
                <w:spacing w:val="-4"/>
                <w:kern w:val="0"/>
                <w:sz w:val="22"/>
                <w:szCs w:val="22"/>
                <w:lang w:val="pl-PL" w:eastAsia="en-US" w:bidi="ar-SA"/>
              </w:rPr>
              <w:t>Poś</w:t>
            </w:r>
            <w:r>
              <w:rPr>
                <w:rFonts w:eastAsia="Calibri" w:cs="Times New Roman" w:ascii="Times New Roman" w:hAnsi="Times New Roman"/>
                <w:spacing w:val="-4"/>
                <w:kern w:val="0"/>
                <w:sz w:val="22"/>
                <w:szCs w:val="22"/>
                <w:lang w:val="pl-PL" w:eastAsia="en-US" w:bidi="ar-SA"/>
              </w:rPr>
              <w:t>;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hd w:val="clear" w:color="auto" w:fill="FFFFFF"/>
              <w:tabs>
                <w:tab w:val="clear" w:pos="708"/>
                <w:tab w:val="left" w:pos="465" w:leader="none"/>
              </w:tabs>
              <w:spacing w:lineRule="auto" w:line="240" w:before="0" w:after="0"/>
              <w:ind w:hanging="284" w:left="465" w:right="-2"/>
              <w:contextualSpacing/>
              <w:jc w:val="both"/>
              <w:rPr>
                <w:rFonts w:ascii="Times New Roman" w:hAnsi="Times New Roman" w:eastAsia="Calibri" w:cs="Times New Roman"/>
                <w:spacing w:val="-4"/>
              </w:rPr>
            </w:pPr>
            <w:r>
              <w:rPr>
                <w:rFonts w:eastAsia="Calibri" w:cs="Times New Roman" w:ascii="Times New Roman" w:hAnsi="Times New Roman"/>
                <w:spacing w:val="-4"/>
                <w:kern w:val="0"/>
                <w:sz w:val="22"/>
                <w:szCs w:val="22"/>
                <w:lang w:val="pl-PL" w:eastAsia="en-US" w:bidi="ar-SA"/>
              </w:rPr>
              <w:t>kontrole gospodarstw domowych w zakresie przestrzegania zakazu spalania odpadów;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hd w:val="clear" w:color="auto" w:fill="FFFFFF"/>
              <w:tabs>
                <w:tab w:val="clear" w:pos="708"/>
                <w:tab w:val="left" w:pos="465" w:leader="none"/>
              </w:tabs>
              <w:spacing w:lineRule="auto" w:line="240" w:before="0" w:after="0"/>
              <w:ind w:hanging="284" w:left="465" w:right="-2"/>
              <w:contextualSpacing/>
              <w:jc w:val="both"/>
              <w:rPr>
                <w:rFonts w:ascii="Times New Roman" w:hAnsi="Times New Roman" w:eastAsia="Calibri" w:cs="Times New Roman"/>
                <w:spacing w:val="-4"/>
              </w:rPr>
            </w:pPr>
            <w:r>
              <w:rPr>
                <w:rFonts w:eastAsia="Calibri" w:cs="Times New Roman" w:ascii="Times New Roman" w:hAnsi="Times New Roman"/>
                <w:spacing w:val="-4"/>
                <w:kern w:val="0"/>
                <w:sz w:val="22"/>
                <w:szCs w:val="22"/>
                <w:lang w:val="pl-PL" w:eastAsia="en-US" w:bidi="ar-SA"/>
              </w:rPr>
              <w:t>kontrole gospodarstw domowych w zakresie przestrzegania zakazów zawartych w uchwałach antysmogowych dot. spalania paliw: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FFFFFF"/>
              <w:tabs>
                <w:tab w:val="clear" w:pos="708"/>
                <w:tab w:val="left" w:pos="802" w:leader="none"/>
              </w:tabs>
              <w:spacing w:lineRule="auto" w:line="240" w:before="0" w:after="0"/>
              <w:ind w:hanging="360" w:left="720" w:right="-2"/>
              <w:contextualSpacing/>
              <w:jc w:val="both"/>
              <w:rPr>
                <w:rFonts w:ascii="Times New Roman" w:hAnsi="Times New Roman" w:eastAsia="Calibri" w:cs="Times New Roman"/>
                <w:spacing w:val="-4"/>
              </w:rPr>
            </w:pPr>
            <w:r>
              <w:rPr>
                <w:rFonts w:eastAsia="Calibri" w:cs="Times New Roman" w:ascii="Times New Roman" w:hAnsi="Times New Roman"/>
                <w:spacing w:val="-4"/>
                <w:kern w:val="0"/>
                <w:sz w:val="22"/>
                <w:szCs w:val="22"/>
                <w:lang w:val="pl-PL" w:eastAsia="en-US" w:bidi="ar-SA"/>
              </w:rPr>
              <w:t>mułów i flotokoncentratów węglowych oraz mieszanek produkowanych z ich wykorzystaniem,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FFFFFF"/>
              <w:tabs>
                <w:tab w:val="clear" w:pos="708"/>
                <w:tab w:val="left" w:pos="802" w:leader="none"/>
              </w:tabs>
              <w:spacing w:lineRule="auto" w:line="240" w:before="0" w:after="0"/>
              <w:ind w:hanging="360" w:left="720" w:right="-2"/>
              <w:contextualSpacing/>
              <w:jc w:val="both"/>
              <w:rPr>
                <w:rFonts w:ascii="Times New Roman" w:hAnsi="Times New Roman" w:eastAsia="Calibri" w:cs="Times New Roman"/>
                <w:spacing w:val="-4"/>
              </w:rPr>
            </w:pPr>
            <w:r>
              <w:rPr>
                <w:rFonts w:eastAsia="Calibri" w:cs="Times New Roman" w:ascii="Times New Roman" w:hAnsi="Times New Roman"/>
                <w:spacing w:val="-4"/>
                <w:kern w:val="0"/>
                <w:sz w:val="22"/>
                <w:szCs w:val="22"/>
                <w:lang w:val="pl-PL" w:eastAsia="en-US" w:bidi="ar-SA"/>
              </w:rPr>
              <w:t>węgla brunatnego oraz paliw stałych produkowanych z wykorzystaniem tego węgla,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FFFFFF"/>
              <w:tabs>
                <w:tab w:val="clear" w:pos="708"/>
                <w:tab w:val="left" w:pos="802" w:leader="none"/>
              </w:tabs>
              <w:spacing w:lineRule="auto" w:line="240" w:before="0" w:after="0"/>
              <w:ind w:hanging="360" w:left="720" w:right="-2"/>
              <w:contextualSpacing/>
              <w:jc w:val="both"/>
              <w:rPr>
                <w:rFonts w:ascii="Times New Roman" w:hAnsi="Times New Roman" w:eastAsia="Calibri" w:cs="Times New Roman"/>
                <w:spacing w:val="-4"/>
              </w:rPr>
            </w:pPr>
            <w:r>
              <w:rPr>
                <w:rFonts w:eastAsia="Calibri" w:cs="Times New Roman" w:ascii="Times New Roman" w:hAnsi="Times New Roman"/>
                <w:spacing w:val="-4"/>
                <w:kern w:val="0"/>
                <w:sz w:val="22"/>
                <w:szCs w:val="22"/>
                <w:lang w:val="pl-PL" w:eastAsia="en-US" w:bidi="ar-SA"/>
              </w:rPr>
              <w:t>węgla kamiennego w postaci sypkiej o uziarnieniu poniżej 3 mm,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FFFFFF"/>
              <w:tabs>
                <w:tab w:val="clear" w:pos="708"/>
                <w:tab w:val="left" w:pos="802" w:leader="none"/>
              </w:tabs>
              <w:spacing w:lineRule="auto" w:line="240" w:before="0" w:after="0"/>
              <w:ind w:hanging="360" w:left="720" w:right="-2"/>
              <w:contextualSpacing/>
              <w:jc w:val="both"/>
              <w:rPr>
                <w:rFonts w:ascii="Times New Roman" w:hAnsi="Times New Roman" w:eastAsia="Calibri" w:cs="Times New Roman"/>
                <w:spacing w:val="-4"/>
              </w:rPr>
            </w:pPr>
            <w:r>
              <w:rPr>
                <w:rFonts w:eastAsia="Calibri" w:cs="Times New Roman" w:ascii="Times New Roman" w:hAnsi="Times New Roman"/>
                <w:spacing w:val="-4"/>
                <w:kern w:val="0"/>
                <w:sz w:val="22"/>
                <w:szCs w:val="22"/>
                <w:lang w:val="pl-PL" w:eastAsia="en-US" w:bidi="ar-SA"/>
              </w:rPr>
              <w:t>biomasy stałej o wilgotności w stanie roboczym powyżej 20%;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hd w:val="clear" w:color="auto" w:fill="FFFFFF"/>
              <w:tabs>
                <w:tab w:val="clear" w:pos="708"/>
                <w:tab w:val="left" w:pos="465" w:leader="none"/>
              </w:tabs>
              <w:spacing w:lineRule="auto" w:line="240" w:before="0" w:after="0"/>
              <w:ind w:hanging="284" w:left="465" w:right="-2"/>
              <w:contextualSpacing/>
              <w:jc w:val="both"/>
              <w:rPr>
                <w:rFonts w:ascii="Times New Roman" w:hAnsi="Times New Roman" w:eastAsia="Calibri" w:cs="Times New Roman"/>
                <w:spacing w:val="-4"/>
              </w:rPr>
            </w:pPr>
            <w:r>
              <w:rPr>
                <w:rFonts w:eastAsia="Calibri" w:cs="Times New Roman" w:ascii="Times New Roman" w:hAnsi="Times New Roman"/>
                <w:spacing w:val="-4"/>
                <w:kern w:val="0"/>
                <w:sz w:val="22"/>
                <w:szCs w:val="22"/>
                <w:lang w:val="pl-PL" w:eastAsia="en-US" w:bidi="ar-SA"/>
              </w:rPr>
              <w:t>czasowy zakaz palenia w kominkach w celach rekreacyjnych (używane nie w celach stałego ogrzewania pomieszczeń);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hd w:val="clear" w:color="auto" w:fill="FFFFFF"/>
              <w:tabs>
                <w:tab w:val="clear" w:pos="708"/>
                <w:tab w:val="left" w:pos="465" w:leader="none"/>
              </w:tabs>
              <w:spacing w:lineRule="auto" w:line="240" w:before="0" w:after="0"/>
              <w:ind w:hanging="284" w:left="465" w:right="-2"/>
              <w:contextualSpacing/>
              <w:jc w:val="both"/>
              <w:rPr>
                <w:rFonts w:ascii="Times New Roman" w:hAnsi="Times New Roman" w:eastAsia="Calibri" w:cs="Times New Roman"/>
                <w:spacing w:val="-4"/>
              </w:rPr>
            </w:pPr>
            <w:r>
              <w:rPr>
                <w:rFonts w:eastAsia="Calibri" w:cs="Times New Roman" w:ascii="Times New Roman" w:hAnsi="Times New Roman"/>
                <w:spacing w:val="-4"/>
                <w:kern w:val="0"/>
                <w:sz w:val="22"/>
                <w:szCs w:val="22"/>
                <w:lang w:val="pl-PL" w:eastAsia="en-US" w:bidi="ar-SA"/>
              </w:rPr>
              <w:t>zakaz stosowania spalinowych urządzeń ogrodniczych (w okresie wiosennym i jesiennym);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hd w:val="clear" w:color="auto" w:fill="FFFFFF"/>
              <w:tabs>
                <w:tab w:val="clear" w:pos="708"/>
                <w:tab w:val="left" w:pos="465" w:leader="none"/>
              </w:tabs>
              <w:spacing w:lineRule="auto" w:line="240" w:before="0" w:after="0"/>
              <w:ind w:hanging="284" w:left="465" w:right="-2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4"/>
                <w:kern w:val="0"/>
                <w:sz w:val="22"/>
                <w:szCs w:val="22"/>
                <w:lang w:val="pl-PL" w:eastAsia="en-US" w:bidi="ar-SA"/>
              </w:rPr>
              <w:t>zakaz aktywności na zewnątrz dzieci i młodzieży uczących się w placówkach oświatowych i opiekuńczo-wychowawczych.</w:t>
            </w:r>
          </w:p>
        </w:tc>
      </w:tr>
    </w:tbl>
    <w:p>
      <w:pPr>
        <w:pStyle w:val="Normal"/>
        <w:spacing w:lineRule="auto" w:line="259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tbl>
      <w:tblPr>
        <w:tblStyle w:val="Tabela-Siatka"/>
        <w:tblW w:w="90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37"/>
        <w:gridCol w:w="6505"/>
      </w:tblGrid>
      <w:tr>
        <w:trPr>
          <w:trHeight w:val="586" w:hRule="atLeast"/>
        </w:trPr>
        <w:tc>
          <w:tcPr>
            <w:tcW w:w="90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INFORMACJE ORGANIZACYJNE</w:t>
            </w:r>
          </w:p>
        </w:tc>
      </w:tr>
      <w:tr>
        <w:trPr/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12.01.2026 r.  godz. 9.00</w:t>
            </w:r>
          </w:p>
        </w:tc>
      </w:tr>
      <w:tr>
        <w:trPr/>
        <w:tc>
          <w:tcPr>
            <w:tcW w:w="2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Podstawa prawna</w:t>
            </w: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tLeast" w:line="40" w:before="0" w:after="0"/>
              <w:ind w:hanging="317" w:left="317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 xml:space="preserve">Ustawa z dnia 27 kwietnia 2001 r. Prawo ochrony środowiska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Dz. U. z 2025 r. poz. 647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tLeast" w:line="40" w:before="0" w:after="0"/>
              <w:ind w:hanging="317" w:left="317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 xml:space="preserve">Rozporządzenie Ministra Klimatu i Środowiska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z dnia 12 kwietnia 2021 r. w sprawie poziomów niektórych substancji w powietrzu (Dz.U. z 2021</w:t>
            </w:r>
            <w:bookmarkStart w:id="1" w:name="_GoBack"/>
            <w:bookmarkEnd w:id="1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r., poz. 845)</w:t>
            </w:r>
          </w:p>
        </w:tc>
      </w:tr>
      <w:tr>
        <w:trPr/>
        <w:tc>
          <w:tcPr>
            <w:tcW w:w="2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Źródła danych</w:t>
            </w: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tLeast" w:line="40" w:before="0" w:after="0"/>
              <w:ind w:hanging="317" w:left="317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Instytut Ochrony Środowiska – Państwowy Instytut Badawczy (IOŚ-PIB) w Warszawie – prognoza jakości powietrza</w:t>
            </w:r>
          </w:p>
        </w:tc>
      </w:tr>
      <w:tr>
        <w:trPr/>
        <w:tc>
          <w:tcPr>
            <w:tcW w:w="2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Opracowanie</w:t>
            </w: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Departament Monitoringu Środowiska Głównego Inspektoratu Ochrony Środowiska </w:t>
            </w: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pl-PL" w:eastAsia="en-US" w:bidi="ar-SA"/>
              </w:rPr>
              <w:t>– Regionalny Wydział Monitoringu Środowiska we Wrocławiu</w:t>
            </w:r>
            <w:bookmarkStart w:id="2" w:name="_Hlk29296751"/>
            <w:bookmarkEnd w:id="2"/>
          </w:p>
        </w:tc>
      </w:tr>
      <w:tr>
        <w:trPr/>
        <w:tc>
          <w:tcPr>
            <w:tcW w:w="253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Publikacja</w:t>
            </w: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hyperlink r:id="rId5">
              <w:r>
                <w:rPr>
                  <w:rStyle w:val="Style8"/>
                  <w:rFonts w:eastAsia="Calibri" w:cs="Times New Roman" w:ascii="Times New Roman" w:hAnsi="Times New Roman"/>
                  <w:color w:val="0563C1"/>
                  <w:kern w:val="0"/>
                  <w:sz w:val="24"/>
                  <w:szCs w:val="24"/>
                  <w:u w:val="single"/>
                  <w:lang w:val="pl-PL" w:eastAsia="en-US" w:bidi="ar-SA"/>
                </w:rPr>
                <w:t>http://powietrze.gios.gov.pl/pjp/warnings</w:t>
              </w:r>
            </w:hyperlink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20"/>
        <w:szCs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6" wp14:anchorId="1472372D">
              <wp:simplePos x="0" y="0"/>
              <wp:positionH relativeFrom="column">
                <wp:posOffset>-118745</wp:posOffset>
              </wp:positionH>
              <wp:positionV relativeFrom="paragraph">
                <wp:posOffset>216535</wp:posOffset>
              </wp:positionV>
              <wp:extent cx="5905500" cy="635"/>
              <wp:effectExtent l="635" t="3810" r="0" b="3175"/>
              <wp:wrapNone/>
              <wp:docPr id="2" name="Łącznik prosty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544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9.35pt,17.05pt" to="455.6pt,17.05pt" ID="Łącznik prosty 1" stroked="t" o:allowincell="f" style="position:absolute" wp14:anchorId="1472372D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sz w:val="20"/>
        <w:szCs w:val="20"/>
      </w:rPr>
      <w:t>Wrocław, dnia 12.01.2026 r.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20"/>
        <w:szCs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6" wp14:anchorId="1472372D">
              <wp:simplePos x="0" y="0"/>
              <wp:positionH relativeFrom="column">
                <wp:posOffset>-118745</wp:posOffset>
              </wp:positionH>
              <wp:positionV relativeFrom="paragraph">
                <wp:posOffset>216535</wp:posOffset>
              </wp:positionV>
              <wp:extent cx="5905500" cy="635"/>
              <wp:effectExtent l="635" t="3810" r="0" b="3175"/>
              <wp:wrapNone/>
              <wp:docPr id="3" name="Łącznik prosty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544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9.35pt,17.05pt" to="455.6pt,17.05pt" ID="Łącznik prosty 1" stroked="t" o:allowincell="f" style="position:absolute" wp14:anchorId="1472372D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sz w:val="20"/>
        <w:szCs w:val="20"/>
      </w:rPr>
      <w:t>Wrocław, dnia 12.01.2026 r.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601f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c601f5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uiPriority w:val="9"/>
    <w:qFormat/>
    <w:rsid w:val="00c601f5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NagwekZnak" w:customStyle="1">
    <w:name w:val="Nagłówek Znak"/>
    <w:basedOn w:val="DefaultParagraphFont"/>
    <w:uiPriority w:val="99"/>
    <w:qFormat/>
    <w:rsid w:val="008c3c55"/>
    <w:rPr/>
  </w:style>
  <w:style w:type="character" w:styleId="StopkaZnak" w:customStyle="1">
    <w:name w:val="Stopka Znak"/>
    <w:basedOn w:val="DefaultParagraphFont"/>
    <w:uiPriority w:val="99"/>
    <w:qFormat/>
    <w:rsid w:val="008c3c55"/>
    <w:rPr/>
  </w:style>
  <w:style w:type="character" w:styleId="Hyperlink">
    <w:name w:val="Hyperlink"/>
    <w:basedOn w:val="DefaultParagraphFont"/>
    <w:uiPriority w:val="99"/>
    <w:unhideWhenUsed/>
    <w:rsid w:val="008c3c55"/>
    <w:rPr>
      <w:color w:themeColor="hyperlink" w:val="0563C1"/>
      <w:u w:val="single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8c3c55"/>
    <w:rPr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8c3c5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8c3c5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c3c55"/>
    <w:pPr>
      <w:spacing w:before="0" w:after="200"/>
      <w:ind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unhideWhenUsed/>
    <w:rsid w:val="008c3c55"/>
    <w:pPr>
      <w:spacing w:lineRule="auto" w:line="240"/>
    </w:pPr>
    <w:rPr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8c3c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59"/>
    <w:rsid w:val="008c3c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owietrze.gios.gov.pl/pjp/airPollution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powietrze.gios.gov.pl/pjp/current" TargetMode="External"/><Relationship Id="rId5" Type="http://schemas.openxmlformats.org/officeDocument/2006/relationships/hyperlink" Target="http://powietrze.gios.gov.pl/pjp/warnings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LibreOffice/25.2.7.2$Windows_X86_64 LibreOffice_project/5cbfd1ab6520636bb5f7b99185aa69bd7456825d</Application>
  <AppVersion>15.0000</AppVersion>
  <Pages>2</Pages>
  <Words>743</Words>
  <Characters>5185</Characters>
  <CharactersWithSpaces>5854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Zuzanna Janiszewska</dc:creator>
  <dc:description/>
  <dc:language>pl-PL</dc:language>
  <cp:lastModifiedBy>Świętosława Żyniewicz</cp:lastModifiedBy>
  <dcterms:modified xsi:type="dcterms:W3CDTF">2026-01-12T07:47:00Z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